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4DCB" w14:textId="69BEE710" w:rsidR="0052492F" w:rsidRDefault="0052492F" w:rsidP="0052492F">
      <w:pPr>
        <w:autoSpaceDE w:val="0"/>
        <w:autoSpaceDN w:val="0"/>
        <w:adjustRightInd w:val="0"/>
        <w:spacing w:after="0" w:line="240" w:lineRule="auto"/>
        <w:jc w:val="center"/>
        <w:rPr>
          <w:rFonts w:ascii="TimesNewRomanPS-BoldMT" w:hAnsi="TimesNewRomanPS-BoldMT" w:cs="TimesNewRomanPS-BoldMT"/>
          <w:b/>
          <w:bCs/>
          <w:kern w:val="0"/>
          <w:sz w:val="26"/>
          <w:szCs w:val="26"/>
        </w:rPr>
      </w:pPr>
      <w:r>
        <w:rPr>
          <w:noProof/>
        </w:rPr>
        <w:drawing>
          <wp:inline distT="0" distB="0" distL="0" distR="0" wp14:anchorId="663C06FB" wp14:editId="673B51D3">
            <wp:extent cx="1181100" cy="1066800"/>
            <wp:effectExtent l="0" t="0" r="0" b="0"/>
            <wp:docPr id="1465465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066800"/>
                    </a:xfrm>
                    <a:prstGeom prst="rect">
                      <a:avLst/>
                    </a:prstGeom>
                    <a:noFill/>
                    <a:ln>
                      <a:noFill/>
                    </a:ln>
                  </pic:spPr>
                </pic:pic>
              </a:graphicData>
            </a:graphic>
          </wp:inline>
        </w:drawing>
      </w:r>
    </w:p>
    <w:p w14:paraId="1085C0A3" w14:textId="77777777" w:rsidR="0052492F" w:rsidRDefault="0052492F" w:rsidP="0052492F">
      <w:pPr>
        <w:autoSpaceDE w:val="0"/>
        <w:autoSpaceDN w:val="0"/>
        <w:adjustRightInd w:val="0"/>
        <w:spacing w:after="0" w:line="240" w:lineRule="auto"/>
        <w:jc w:val="center"/>
        <w:rPr>
          <w:rFonts w:ascii="TimesNewRomanPS-BoldMT" w:hAnsi="TimesNewRomanPS-BoldMT" w:cs="TimesNewRomanPS-BoldMT"/>
          <w:b/>
          <w:bCs/>
          <w:kern w:val="0"/>
          <w:sz w:val="26"/>
          <w:szCs w:val="26"/>
        </w:rPr>
      </w:pPr>
    </w:p>
    <w:p w14:paraId="0226A975" w14:textId="14475B49" w:rsidR="0052492F" w:rsidRPr="0052492F" w:rsidRDefault="0052492F" w:rsidP="0052492F">
      <w:pPr>
        <w:autoSpaceDE w:val="0"/>
        <w:autoSpaceDN w:val="0"/>
        <w:adjustRightInd w:val="0"/>
        <w:spacing w:after="0" w:line="240" w:lineRule="auto"/>
        <w:jc w:val="center"/>
        <w:rPr>
          <w:rFonts w:ascii="TimesNewRomanPS-BoldMT" w:hAnsi="TimesNewRomanPS-BoldMT" w:cs="TimesNewRomanPS-BoldMT"/>
          <w:b/>
          <w:bCs/>
          <w:kern w:val="0"/>
          <w:sz w:val="26"/>
          <w:szCs w:val="26"/>
        </w:rPr>
      </w:pPr>
      <w:r w:rsidRPr="0052492F">
        <w:rPr>
          <w:rFonts w:ascii="TimesNewRomanPS-BoldMT" w:hAnsi="TimesNewRomanPS-BoldMT" w:cs="TimesNewRomanPS-BoldMT"/>
          <w:b/>
          <w:bCs/>
          <w:kern w:val="0"/>
          <w:sz w:val="26"/>
          <w:szCs w:val="26"/>
        </w:rPr>
        <w:t>Williamson County Republican Party</w:t>
      </w:r>
    </w:p>
    <w:p w14:paraId="203F91EC" w14:textId="77777777" w:rsidR="0052492F" w:rsidRPr="0052492F" w:rsidRDefault="0052492F" w:rsidP="0052492F">
      <w:pPr>
        <w:autoSpaceDE w:val="0"/>
        <w:autoSpaceDN w:val="0"/>
        <w:adjustRightInd w:val="0"/>
        <w:spacing w:after="0" w:line="240" w:lineRule="auto"/>
        <w:jc w:val="center"/>
        <w:rPr>
          <w:rFonts w:ascii="TimesNewRomanPS-BoldMT" w:hAnsi="TimesNewRomanPS-BoldMT" w:cs="TimesNewRomanPS-BoldMT"/>
          <w:b/>
          <w:bCs/>
          <w:kern w:val="0"/>
          <w:sz w:val="26"/>
          <w:szCs w:val="26"/>
        </w:rPr>
      </w:pPr>
      <w:r w:rsidRPr="0052492F">
        <w:rPr>
          <w:rFonts w:ascii="TimesNewRomanPS-BoldMT" w:hAnsi="TimesNewRomanPS-BoldMT" w:cs="TimesNewRomanPS-BoldMT"/>
          <w:b/>
          <w:bCs/>
          <w:kern w:val="0"/>
          <w:sz w:val="26"/>
          <w:szCs w:val="26"/>
        </w:rPr>
        <w:t>Williamson County, Tennessee</w:t>
      </w:r>
    </w:p>
    <w:p w14:paraId="41CDC8DA" w14:textId="6B537B9C" w:rsidR="0052492F" w:rsidRPr="0052492F" w:rsidRDefault="00735087" w:rsidP="0052492F">
      <w:pPr>
        <w:autoSpaceDE w:val="0"/>
        <w:autoSpaceDN w:val="0"/>
        <w:adjustRightInd w:val="0"/>
        <w:spacing w:after="0" w:line="240" w:lineRule="auto"/>
        <w:jc w:val="center"/>
        <w:rPr>
          <w:rFonts w:ascii="TimesNewRomanPS-BoldMT" w:hAnsi="TimesNewRomanPS-BoldMT" w:cs="TimesNewRomanPS-BoldMT"/>
          <w:b/>
          <w:bCs/>
          <w:kern w:val="0"/>
          <w:sz w:val="26"/>
          <w:szCs w:val="26"/>
        </w:rPr>
      </w:pPr>
      <w:r>
        <w:rPr>
          <w:rFonts w:ascii="TimesNewRomanPS-BoldMT" w:hAnsi="TimesNewRomanPS-BoldMT" w:cs="TimesNewRomanPS-BoldMT"/>
          <w:b/>
          <w:bCs/>
          <w:kern w:val="0"/>
          <w:sz w:val="26"/>
          <w:szCs w:val="26"/>
        </w:rPr>
        <w:t>March 2</w:t>
      </w:r>
      <w:r w:rsidR="0052492F" w:rsidRPr="0052492F">
        <w:rPr>
          <w:rFonts w:ascii="TimesNewRomanPS-BoldMT" w:hAnsi="TimesNewRomanPS-BoldMT" w:cs="TimesNewRomanPS-BoldMT"/>
          <w:b/>
          <w:bCs/>
          <w:kern w:val="0"/>
          <w:sz w:val="26"/>
          <w:szCs w:val="26"/>
        </w:rPr>
        <w:t>, 202</w:t>
      </w:r>
      <w:r>
        <w:rPr>
          <w:rFonts w:ascii="TimesNewRomanPS-BoldMT" w:hAnsi="TimesNewRomanPS-BoldMT" w:cs="TimesNewRomanPS-BoldMT"/>
          <w:b/>
          <w:bCs/>
          <w:kern w:val="0"/>
          <w:sz w:val="26"/>
          <w:szCs w:val="26"/>
        </w:rPr>
        <w:t>6</w:t>
      </w:r>
    </w:p>
    <w:p w14:paraId="3828B299" w14:textId="77777777" w:rsidR="0052492F" w:rsidRDefault="0052492F" w:rsidP="0052492F">
      <w:pPr>
        <w:autoSpaceDE w:val="0"/>
        <w:autoSpaceDN w:val="0"/>
        <w:adjustRightInd w:val="0"/>
        <w:spacing w:after="0" w:line="240" w:lineRule="auto"/>
        <w:rPr>
          <w:rFonts w:ascii="TimesNewRomanPS-BoldMT" w:hAnsi="TimesNewRomanPS-BoldMT" w:cs="TimesNewRomanPS-BoldMT"/>
          <w:b/>
          <w:bCs/>
          <w:kern w:val="0"/>
          <w:sz w:val="22"/>
          <w:szCs w:val="22"/>
        </w:rPr>
      </w:pPr>
    </w:p>
    <w:p w14:paraId="49314CC3" w14:textId="1CFAC36C" w:rsidR="00FE46BA" w:rsidRPr="00FE46BA" w:rsidRDefault="00735087" w:rsidP="00FE46BA">
      <w:pPr>
        <w:jc w:val="center"/>
        <w:rPr>
          <w:rFonts w:ascii="Times New Roman" w:hAnsi="Times New Roman" w:cs="Times New Roman"/>
          <w:b/>
          <w:bCs/>
          <w:caps/>
          <w:kern w:val="0"/>
          <w:sz w:val="26"/>
          <w:szCs w:val="26"/>
        </w:rPr>
      </w:pPr>
      <w:r w:rsidRPr="00735087">
        <w:rPr>
          <w:rFonts w:ascii="Times New Roman" w:hAnsi="Times New Roman" w:cs="Times New Roman"/>
          <w:b/>
          <w:bCs/>
          <w:caps/>
          <w:kern w:val="0"/>
          <w:sz w:val="26"/>
          <w:szCs w:val="26"/>
        </w:rPr>
        <w:t>RESOLUTION OPPOSING HOUSE BILL 1971 AND SENATE BILL 1958 FOR INFRINGING UPON CITIZENS’ ABILITY TO BRING SUIT AGAINST THE STATE OF TENNESSEE CHALLENGING CONSTITUTIONALITY OF LEGISLATION</w:t>
      </w:r>
    </w:p>
    <w:p w14:paraId="035AA504" w14:textId="77777777" w:rsidR="00FE46BA" w:rsidRPr="00FE46BA" w:rsidRDefault="00FE46BA" w:rsidP="00FE46BA">
      <w:pPr>
        <w:rPr>
          <w:rFonts w:ascii="Times New Roman" w:hAnsi="Times New Roman" w:cs="Times New Roman"/>
          <w:b/>
          <w:bCs/>
          <w:caps/>
          <w:kern w:val="0"/>
          <w:sz w:val="26"/>
          <w:szCs w:val="26"/>
        </w:rPr>
      </w:pPr>
    </w:p>
    <w:p w14:paraId="47794B91" w14:textId="565FB0EA" w:rsidR="00FE46BA" w:rsidRPr="00FE46BA" w:rsidRDefault="00FE46BA" w:rsidP="00FE46BA">
      <w:pPr>
        <w:rPr>
          <w:rFonts w:ascii="Times New Roman" w:hAnsi="Times New Roman" w:cs="Times New Roman"/>
          <w:kern w:val="0"/>
        </w:rPr>
      </w:pPr>
      <w:r w:rsidRPr="00FE46BA">
        <w:rPr>
          <w:rFonts w:ascii="Times New Roman" w:hAnsi="Times New Roman" w:cs="Times New Roman"/>
          <w:b/>
          <w:bCs/>
          <w:caps/>
          <w:kern w:val="0"/>
        </w:rPr>
        <w:t>WHEREAS</w:t>
      </w:r>
      <w:r>
        <w:rPr>
          <w:rFonts w:ascii="Times New Roman" w:hAnsi="Times New Roman" w:cs="Times New Roman"/>
          <w:b/>
          <w:bCs/>
          <w:caps/>
          <w:kern w:val="0"/>
        </w:rPr>
        <w:t>,</w:t>
      </w:r>
      <w:r w:rsidRPr="00FE46BA">
        <w:rPr>
          <w:rFonts w:ascii="Times New Roman" w:hAnsi="Times New Roman" w:cs="Times New Roman"/>
          <w:b/>
          <w:bCs/>
          <w:caps/>
          <w:kern w:val="0"/>
        </w:rPr>
        <w:t xml:space="preserve"> </w:t>
      </w:r>
      <w:r w:rsidR="00735087" w:rsidRPr="00735087">
        <w:rPr>
          <w:rFonts w:ascii="Times New Roman" w:hAnsi="Times New Roman" w:cs="Times New Roman"/>
          <w:kern w:val="0"/>
        </w:rPr>
        <w:t>the Williamson County Republican Party is committed to the foundational Republican principles of limited government, individual liberty, transparency, accountability, and the rule of law, including the sacred right of citizens to hold their government accountable when it exceeds constitutional bounds; and</w:t>
      </w:r>
    </w:p>
    <w:p w14:paraId="1354CD99" w14:textId="6CAC00CE" w:rsidR="00FE46BA" w:rsidRPr="00FE46BA" w:rsidRDefault="00FE46BA"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00735087" w:rsidRPr="00735087">
        <w:rPr>
          <w:rFonts w:ascii="Times New Roman" w:hAnsi="Times New Roman" w:cs="Times New Roman"/>
          <w:kern w:val="0"/>
        </w:rPr>
        <w:t>in 2018 the Tennessee General Assembly enacted Tennessee Code Annotated § 1-3-121, which expressly provides that “a cause of action shall exist … for any affected person who seeks declaratory or injunctive relief in any action brought regarding the legality or constitutionality of a governmental action,” thereby codifying broad standing to challenge unconstitutional legislation without first requiring proof of actual damages; and</w:t>
      </w:r>
      <w:r w:rsidRPr="00FE46BA">
        <w:rPr>
          <w:rFonts w:ascii="Times New Roman" w:hAnsi="Times New Roman" w:cs="Times New Roman"/>
          <w:kern w:val="0"/>
        </w:rPr>
        <w:t xml:space="preserve">  </w:t>
      </w:r>
    </w:p>
    <w:p w14:paraId="37602AD8" w14:textId="7BD363E8" w:rsidR="00FE46BA" w:rsidRPr="00FE46BA" w:rsidRDefault="00FE46BA"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00735087" w:rsidRPr="00735087">
        <w:rPr>
          <w:rFonts w:ascii="Times New Roman" w:hAnsi="Times New Roman" w:cs="Times New Roman"/>
          <w:kern w:val="0"/>
        </w:rPr>
        <w:t>House Bill 1971 and Senate Bill 1958 would repeal or materially restrict this statutory right, forcing citizens to demonstrate that they have already suffered concrete harm before they may seek declaratory or injunctive relief against potentially unconstitutional state laws, thereby eliminating or severely limiting pre-enforcement and facial challenges; and</w:t>
      </w:r>
      <w:r w:rsidRPr="00FE46BA">
        <w:rPr>
          <w:rFonts w:ascii="Times New Roman" w:hAnsi="Times New Roman" w:cs="Times New Roman"/>
          <w:kern w:val="0"/>
        </w:rPr>
        <w:t xml:space="preserve"> </w:t>
      </w:r>
    </w:p>
    <w:p w14:paraId="7F586626" w14:textId="19728FAD" w:rsidR="00FE46BA" w:rsidRPr="00FE46BA" w:rsidRDefault="00FE46BA"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00735087" w:rsidRPr="00735087">
        <w:rPr>
          <w:rFonts w:ascii="Times New Roman" w:hAnsi="Times New Roman" w:cs="Times New Roman"/>
          <w:kern w:val="0"/>
        </w:rPr>
        <w:t>the United States Supreme Court in Marbury v. Madison, 5 U.S. 137 (1803), established that “it is emphatically the province and duty of the judicial department to say what the law is,” a principle reaffirmed in countless decisions including New York State Rifle &amp; Pistol Association v. Bruen, 597 U.S. 1 (2022), which underscores that constitutional rights must be protected through meaningful judicial review; and</w:t>
      </w:r>
      <w:r w:rsidRPr="00FE46BA">
        <w:rPr>
          <w:rFonts w:ascii="Times New Roman" w:hAnsi="Times New Roman" w:cs="Times New Roman"/>
          <w:kern w:val="0"/>
        </w:rPr>
        <w:t xml:space="preserve"> </w:t>
      </w:r>
    </w:p>
    <w:p w14:paraId="7D53BD28" w14:textId="08667104" w:rsidR="00FE46BA" w:rsidRPr="00FE46BA" w:rsidRDefault="00FE46BA"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00735087" w:rsidRPr="00735087">
        <w:rPr>
          <w:rFonts w:ascii="Times New Roman" w:hAnsi="Times New Roman" w:cs="Times New Roman"/>
          <w:kern w:val="0"/>
        </w:rPr>
        <w:t>the federal Declaratory Judgment Act, 28 U.S.C. § 2201, similarly authorizes declaratory relief in cases of actual controversy without requiring that harm must first occur, demonstrating that pre-enforcement challenges are a standard and essential tool of American jurisprudence; and</w:t>
      </w:r>
    </w:p>
    <w:p w14:paraId="13AC94DA" w14:textId="4A90BD64" w:rsidR="00FE46BA" w:rsidRDefault="00FE46BA" w:rsidP="00FE46BA">
      <w:pPr>
        <w:rPr>
          <w:rFonts w:ascii="Times New Roman" w:hAnsi="Times New Roman" w:cs="Times New Roman"/>
          <w:kern w:val="0"/>
        </w:rPr>
      </w:pPr>
      <w:r w:rsidRPr="00FE46BA">
        <w:rPr>
          <w:rFonts w:ascii="Times New Roman" w:hAnsi="Times New Roman" w:cs="Times New Roman"/>
          <w:b/>
          <w:bCs/>
          <w:kern w:val="0"/>
        </w:rPr>
        <w:lastRenderedPageBreak/>
        <w:t>WHEREAS,</w:t>
      </w:r>
      <w:r w:rsidRPr="00FE46BA">
        <w:rPr>
          <w:rFonts w:ascii="Times New Roman" w:hAnsi="Times New Roman" w:cs="Times New Roman"/>
          <w:kern w:val="0"/>
        </w:rPr>
        <w:t xml:space="preserve"> </w:t>
      </w:r>
      <w:r w:rsidR="00735087" w:rsidRPr="00735087">
        <w:rPr>
          <w:rFonts w:ascii="Times New Roman" w:hAnsi="Times New Roman" w:cs="Times New Roman"/>
          <w:kern w:val="0"/>
        </w:rPr>
        <w:t>Article I, Section 17 of the Tennessee Constitution declares that “all courts shall be open; and every man, for an injury done him … shall have remedy by due course of law,” a provision that is undermined when citizens are barred from seeking judicial clarification before unconstitutional laws inflict irreversible damage; and</w:t>
      </w:r>
    </w:p>
    <w:p w14:paraId="0C6B0E49" w14:textId="00F0CAFB" w:rsidR="00735087" w:rsidRDefault="00735087"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Pr="00735087">
        <w:rPr>
          <w:rFonts w:ascii="Times New Roman" w:hAnsi="Times New Roman" w:cs="Times New Roman"/>
          <w:kern w:val="0"/>
        </w:rPr>
        <w:t>Tennessee courts have repeatedly upheld the right of citizens to challenge unconstitutional legislation, including the 2025 three-judge panel ruling in Gibson County that declared Tennessee’s “intent to go armed” statute and state parks firearm prohibition unconstitutional under Article I of the Tennessee Constitution and the Second Amendment; the 2022 Benton County Circuit Court decision, secured with assistance from the Institute for Justice, striking down the game-warden warrantless surveillance statute as an unconstitutional general warrant; and other decisions; and</w:t>
      </w:r>
    </w:p>
    <w:p w14:paraId="3C718276" w14:textId="263325D9" w:rsidR="00735087" w:rsidRDefault="00735087"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Pr="00735087">
        <w:rPr>
          <w:rFonts w:ascii="Times New Roman" w:hAnsi="Times New Roman" w:cs="Times New Roman"/>
          <w:kern w:val="0"/>
        </w:rPr>
        <w:t>House Bill 1971 and Senate Bill 1958 are opposed by leading Republican-friendly organizations dedicated to limited government and constitutional fidelity, including the Tennessee Firearms Association, Americans for Prosperity Tennessee, Tennessee Stands, the Goldwater Institute, and the Institute for Justice; and</w:t>
      </w:r>
    </w:p>
    <w:p w14:paraId="6F3BBEB8" w14:textId="517C6646" w:rsidR="00735087" w:rsidRPr="00FE46BA" w:rsidRDefault="00735087" w:rsidP="00FE46BA">
      <w:pPr>
        <w:rPr>
          <w:rFonts w:ascii="Times New Roman" w:hAnsi="Times New Roman" w:cs="Times New Roman"/>
          <w:kern w:val="0"/>
        </w:rPr>
      </w:pPr>
      <w:r w:rsidRPr="00FE46BA">
        <w:rPr>
          <w:rFonts w:ascii="Times New Roman" w:hAnsi="Times New Roman" w:cs="Times New Roman"/>
          <w:b/>
          <w:bCs/>
          <w:kern w:val="0"/>
        </w:rPr>
        <w:t>WHEREAS,</w:t>
      </w:r>
      <w:r w:rsidRPr="00FE46BA">
        <w:rPr>
          <w:rFonts w:ascii="Times New Roman" w:hAnsi="Times New Roman" w:cs="Times New Roman"/>
          <w:kern w:val="0"/>
        </w:rPr>
        <w:t xml:space="preserve"> </w:t>
      </w:r>
      <w:r w:rsidRPr="00735087">
        <w:rPr>
          <w:rFonts w:ascii="Times New Roman" w:hAnsi="Times New Roman" w:cs="Times New Roman"/>
          <w:kern w:val="0"/>
        </w:rPr>
        <w:t>transparent governance, legislative accountability, and the supremacy of the Constitution over ordinary legislation are core Republican values essential to maintaining public trust and preventing the consolidation of unchecked power;</w:t>
      </w:r>
    </w:p>
    <w:p w14:paraId="7E64F08B" w14:textId="307DE857" w:rsidR="00FE46BA" w:rsidRPr="00FE46BA" w:rsidRDefault="00FE46BA" w:rsidP="00FE46BA">
      <w:pPr>
        <w:rPr>
          <w:rFonts w:ascii="Times New Roman" w:hAnsi="Times New Roman" w:cs="Times New Roman"/>
          <w:kern w:val="0"/>
        </w:rPr>
      </w:pPr>
      <w:r w:rsidRPr="00FE46BA">
        <w:rPr>
          <w:rFonts w:ascii="Times New Roman" w:hAnsi="Times New Roman" w:cs="Times New Roman"/>
          <w:b/>
          <w:bCs/>
          <w:caps/>
          <w:kern w:val="0"/>
        </w:rPr>
        <w:t>now,</w:t>
      </w:r>
      <w:r>
        <w:rPr>
          <w:rFonts w:ascii="Times New Roman" w:hAnsi="Times New Roman" w:cs="Times New Roman"/>
          <w:b/>
          <w:bCs/>
          <w:caps/>
          <w:kern w:val="0"/>
        </w:rPr>
        <w:t xml:space="preserve"> </w:t>
      </w:r>
      <w:r w:rsidRPr="00FE46BA">
        <w:rPr>
          <w:rFonts w:ascii="Times New Roman" w:hAnsi="Times New Roman" w:cs="Times New Roman"/>
          <w:b/>
          <w:bCs/>
          <w:caps/>
          <w:kern w:val="0"/>
        </w:rPr>
        <w:t xml:space="preserve">THEREFORE, BE IT RESOLVED </w:t>
      </w:r>
      <w:r w:rsidRPr="00FE46BA">
        <w:rPr>
          <w:rFonts w:ascii="Times New Roman" w:hAnsi="Times New Roman" w:cs="Times New Roman"/>
          <w:kern w:val="0"/>
        </w:rPr>
        <w:t xml:space="preserve">that the Williamson County Republican Party (WCRP): </w:t>
      </w:r>
    </w:p>
    <w:p w14:paraId="7661396C" w14:textId="77777777" w:rsidR="00735087" w:rsidRDefault="00735087" w:rsidP="00735087">
      <w:pPr>
        <w:pStyle w:val="ListParagraph"/>
        <w:numPr>
          <w:ilvl w:val="0"/>
          <w:numId w:val="2"/>
        </w:numPr>
        <w:rPr>
          <w:rFonts w:ascii="Times New Roman" w:hAnsi="Times New Roman" w:cs="Times New Roman"/>
          <w:kern w:val="0"/>
        </w:rPr>
      </w:pPr>
      <w:r w:rsidRPr="00735087">
        <w:rPr>
          <w:rFonts w:ascii="Times New Roman" w:hAnsi="Times New Roman" w:cs="Times New Roman"/>
          <w:kern w:val="0"/>
        </w:rPr>
        <w:t>Strongly opposes House Bill 1971 and Senate Bill 1958 as unconstitutional infringements upon the right of Tennesseans to seek judicial review of potentially unconstitutional legislation;</w:t>
      </w:r>
    </w:p>
    <w:p w14:paraId="0B6F9F2D" w14:textId="77777777" w:rsidR="00735087" w:rsidRDefault="00735087" w:rsidP="00735087">
      <w:pPr>
        <w:pStyle w:val="ListParagraph"/>
        <w:rPr>
          <w:rFonts w:ascii="Times New Roman" w:hAnsi="Times New Roman" w:cs="Times New Roman"/>
          <w:kern w:val="0"/>
        </w:rPr>
      </w:pPr>
    </w:p>
    <w:p w14:paraId="3941391D" w14:textId="77777777" w:rsidR="00735087" w:rsidRDefault="00735087" w:rsidP="00735087">
      <w:pPr>
        <w:pStyle w:val="ListParagraph"/>
        <w:numPr>
          <w:ilvl w:val="0"/>
          <w:numId w:val="2"/>
        </w:numPr>
        <w:rPr>
          <w:rFonts w:ascii="Times New Roman" w:hAnsi="Times New Roman" w:cs="Times New Roman"/>
          <w:kern w:val="0"/>
        </w:rPr>
      </w:pPr>
      <w:r w:rsidRPr="00735087">
        <w:rPr>
          <w:rFonts w:ascii="Times New Roman" w:hAnsi="Times New Roman" w:cs="Times New Roman"/>
          <w:kern w:val="0"/>
        </w:rPr>
        <w:t>Affirms its unwavering support for the preservation and enforcement of Tennessee Code Annotated § 1-3-121 and the broad standing it provides to affected persons to challenge governmental actions through declaratory and injunctive relief;</w:t>
      </w:r>
    </w:p>
    <w:p w14:paraId="1638EB80" w14:textId="77777777" w:rsidR="00735087" w:rsidRPr="00735087" w:rsidRDefault="00735087" w:rsidP="00735087">
      <w:pPr>
        <w:pStyle w:val="ListParagraph"/>
        <w:rPr>
          <w:rFonts w:ascii="Times New Roman" w:hAnsi="Times New Roman" w:cs="Times New Roman"/>
          <w:kern w:val="0"/>
        </w:rPr>
      </w:pPr>
    </w:p>
    <w:p w14:paraId="1A526310" w14:textId="77777777" w:rsidR="00735087" w:rsidRDefault="00735087" w:rsidP="00735087">
      <w:pPr>
        <w:pStyle w:val="ListParagraph"/>
        <w:numPr>
          <w:ilvl w:val="0"/>
          <w:numId w:val="2"/>
        </w:numPr>
        <w:rPr>
          <w:rFonts w:ascii="Times New Roman" w:hAnsi="Times New Roman" w:cs="Times New Roman"/>
          <w:kern w:val="0"/>
        </w:rPr>
      </w:pPr>
      <w:r w:rsidRPr="00735087">
        <w:rPr>
          <w:rFonts w:ascii="Times New Roman" w:hAnsi="Times New Roman" w:cs="Times New Roman"/>
          <w:kern w:val="0"/>
        </w:rPr>
        <w:t>Urges the Tennessee General Assembly to reject House Bill 1971 and Senate Bill 1958 in their entirety and to refrain from enacting any legislation that would limit citizens’ ability to bring suit against unconstitutional state laws;</w:t>
      </w:r>
    </w:p>
    <w:p w14:paraId="65AF1FF2" w14:textId="77777777" w:rsidR="00735087" w:rsidRPr="00735087" w:rsidRDefault="00735087" w:rsidP="00735087">
      <w:pPr>
        <w:pStyle w:val="ListParagraph"/>
        <w:rPr>
          <w:rFonts w:ascii="Times New Roman" w:hAnsi="Times New Roman" w:cs="Times New Roman"/>
          <w:kern w:val="0"/>
        </w:rPr>
      </w:pPr>
    </w:p>
    <w:p w14:paraId="24699DC0" w14:textId="77777777" w:rsidR="00735087" w:rsidRDefault="00735087" w:rsidP="00735087">
      <w:pPr>
        <w:pStyle w:val="ListParagraph"/>
        <w:numPr>
          <w:ilvl w:val="0"/>
          <w:numId w:val="2"/>
        </w:numPr>
        <w:rPr>
          <w:rFonts w:ascii="Times New Roman" w:hAnsi="Times New Roman" w:cs="Times New Roman"/>
          <w:kern w:val="0"/>
        </w:rPr>
      </w:pPr>
      <w:r w:rsidRPr="00735087">
        <w:rPr>
          <w:rFonts w:ascii="Times New Roman" w:hAnsi="Times New Roman" w:cs="Times New Roman"/>
          <w:kern w:val="0"/>
        </w:rPr>
        <w:t>Supports the right of every Tennessean to meaningful access to the courts as guaranteed by the Tennessee and United States Constitutions and as demonstrated by successful challenges to unconstitutional statutes throughout Tennessee history;</w:t>
      </w:r>
    </w:p>
    <w:p w14:paraId="02D5897F" w14:textId="77777777" w:rsidR="00735087" w:rsidRPr="00735087" w:rsidRDefault="00735087" w:rsidP="00735087">
      <w:pPr>
        <w:pStyle w:val="ListParagraph"/>
        <w:rPr>
          <w:rFonts w:ascii="Times New Roman" w:hAnsi="Times New Roman" w:cs="Times New Roman"/>
          <w:kern w:val="0"/>
        </w:rPr>
      </w:pPr>
    </w:p>
    <w:p w14:paraId="527A1A9A" w14:textId="77777777" w:rsidR="00735087" w:rsidRDefault="00735087" w:rsidP="00735087">
      <w:pPr>
        <w:pStyle w:val="ListParagraph"/>
        <w:numPr>
          <w:ilvl w:val="0"/>
          <w:numId w:val="2"/>
        </w:numPr>
        <w:rPr>
          <w:rFonts w:ascii="Times New Roman" w:hAnsi="Times New Roman" w:cs="Times New Roman"/>
          <w:kern w:val="0"/>
        </w:rPr>
      </w:pPr>
      <w:r w:rsidRPr="00735087">
        <w:rPr>
          <w:rFonts w:ascii="Times New Roman" w:hAnsi="Times New Roman" w:cs="Times New Roman"/>
          <w:kern w:val="0"/>
        </w:rPr>
        <w:lastRenderedPageBreak/>
        <w:t>Recognizes that elected officials who defend the constitutional right of citizens to challenge overreaching legislation demonstrate fidelity to their oaths and to the principles of republican government; and</w:t>
      </w:r>
    </w:p>
    <w:p w14:paraId="315B5A04" w14:textId="77777777" w:rsidR="00735087" w:rsidRPr="00735087" w:rsidRDefault="00735087" w:rsidP="00735087">
      <w:pPr>
        <w:pStyle w:val="ListParagraph"/>
        <w:rPr>
          <w:rFonts w:ascii="Times New Roman" w:hAnsi="Times New Roman" w:cs="Times New Roman"/>
          <w:kern w:val="0"/>
        </w:rPr>
      </w:pPr>
    </w:p>
    <w:p w14:paraId="1DF98FC2" w14:textId="66186F7E" w:rsidR="00735087" w:rsidRPr="00735087" w:rsidRDefault="00735087" w:rsidP="00735087">
      <w:pPr>
        <w:pStyle w:val="ListParagraph"/>
        <w:numPr>
          <w:ilvl w:val="0"/>
          <w:numId w:val="2"/>
        </w:numPr>
        <w:rPr>
          <w:rFonts w:ascii="Times New Roman" w:hAnsi="Times New Roman" w:cs="Times New Roman"/>
          <w:kern w:val="0"/>
        </w:rPr>
      </w:pPr>
      <w:r w:rsidRPr="00735087">
        <w:rPr>
          <w:rFonts w:ascii="Times New Roman" w:hAnsi="Times New Roman" w:cs="Times New Roman"/>
          <w:kern w:val="0"/>
        </w:rPr>
        <w:t>Commends the Tennessee Firearms Association, Americans for Prosperity Tennessee, Tennessee Stands, the Goldwater Institute, the Institute for Justice, and all other organizations and citizens working to protect these fundamental rights.</w:t>
      </w:r>
    </w:p>
    <w:p w14:paraId="0424FBE3" w14:textId="77777777" w:rsidR="00735087" w:rsidRPr="00735087" w:rsidRDefault="00735087" w:rsidP="00735087">
      <w:pPr>
        <w:rPr>
          <w:rFonts w:ascii="Times New Roman" w:hAnsi="Times New Roman" w:cs="Times New Roman"/>
          <w:kern w:val="0"/>
        </w:rPr>
      </w:pPr>
      <w:r w:rsidRPr="00735087">
        <w:rPr>
          <w:rFonts w:ascii="Times New Roman" w:hAnsi="Times New Roman" w:cs="Times New Roman"/>
          <w:b/>
          <w:bCs/>
          <w:kern w:val="0"/>
        </w:rPr>
        <w:t>BE IT FURTHER RESOLVED</w:t>
      </w:r>
      <w:r w:rsidRPr="00735087">
        <w:rPr>
          <w:rFonts w:ascii="Times New Roman" w:hAnsi="Times New Roman" w:cs="Times New Roman"/>
          <w:kern w:val="0"/>
        </w:rPr>
        <w:t xml:space="preserve"> that a copy of this resolution be transmitted to the Williamson County legislative delegation to the Tennessee General Assembly, the sponsors of House Bill 1971 and Senate Bill 1958, and appropriate media outlets.</w:t>
      </w:r>
    </w:p>
    <w:p w14:paraId="4F51816E" w14:textId="77777777" w:rsidR="00735087" w:rsidRDefault="00735087" w:rsidP="00735087">
      <w:pPr>
        <w:rPr>
          <w:rFonts w:ascii="Times New Roman" w:hAnsi="Times New Roman" w:cs="Times New Roman"/>
          <w:kern w:val="0"/>
        </w:rPr>
      </w:pPr>
    </w:p>
    <w:p w14:paraId="29793BD9" w14:textId="3F12CD0F" w:rsidR="00AF2B4C" w:rsidRPr="00FE46BA" w:rsidRDefault="00735087" w:rsidP="00735087">
      <w:pPr>
        <w:rPr>
          <w:rFonts w:ascii="Times New Roman" w:hAnsi="Times New Roman" w:cs="Times New Roman"/>
        </w:rPr>
      </w:pPr>
      <w:r w:rsidRPr="00735087">
        <w:rPr>
          <w:rFonts w:ascii="Times New Roman" w:hAnsi="Times New Roman" w:cs="Times New Roman"/>
          <w:kern w:val="0"/>
        </w:rPr>
        <w:t>Adopted this 2nd Day of March 2026.</w:t>
      </w:r>
    </w:p>
    <w:sectPr w:rsidR="00AF2B4C" w:rsidRPr="00FE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33B07"/>
    <w:multiLevelType w:val="hybridMultilevel"/>
    <w:tmpl w:val="70EED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D6209"/>
    <w:multiLevelType w:val="hybridMultilevel"/>
    <w:tmpl w:val="8392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724241">
    <w:abstractNumId w:val="0"/>
  </w:num>
  <w:num w:numId="2" w16cid:durableId="1304850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2F"/>
    <w:rsid w:val="00292774"/>
    <w:rsid w:val="004B4264"/>
    <w:rsid w:val="0052492F"/>
    <w:rsid w:val="006625AB"/>
    <w:rsid w:val="00735087"/>
    <w:rsid w:val="00762AF6"/>
    <w:rsid w:val="007A2B35"/>
    <w:rsid w:val="00825863"/>
    <w:rsid w:val="009A651D"/>
    <w:rsid w:val="00AF2B4C"/>
    <w:rsid w:val="00E0061C"/>
    <w:rsid w:val="00FE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E25C"/>
  <w15:chartTrackingRefBased/>
  <w15:docId w15:val="{67B8FCB1-E6ED-4F60-910F-5F4774A1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9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9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9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2F"/>
    <w:rPr>
      <w:rFonts w:eastAsiaTheme="majorEastAsia" w:cstheme="majorBidi"/>
      <w:color w:val="272727" w:themeColor="text1" w:themeTint="D8"/>
    </w:rPr>
  </w:style>
  <w:style w:type="paragraph" w:styleId="Title">
    <w:name w:val="Title"/>
    <w:basedOn w:val="Normal"/>
    <w:next w:val="Normal"/>
    <w:link w:val="TitleChar"/>
    <w:uiPriority w:val="10"/>
    <w:qFormat/>
    <w:rsid w:val="00524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2F"/>
    <w:pPr>
      <w:spacing w:before="160"/>
      <w:jc w:val="center"/>
    </w:pPr>
    <w:rPr>
      <w:i/>
      <w:iCs/>
      <w:color w:val="404040" w:themeColor="text1" w:themeTint="BF"/>
    </w:rPr>
  </w:style>
  <w:style w:type="character" w:customStyle="1" w:styleId="QuoteChar">
    <w:name w:val="Quote Char"/>
    <w:basedOn w:val="DefaultParagraphFont"/>
    <w:link w:val="Quote"/>
    <w:uiPriority w:val="29"/>
    <w:rsid w:val="0052492F"/>
    <w:rPr>
      <w:i/>
      <w:iCs/>
      <w:color w:val="404040" w:themeColor="text1" w:themeTint="BF"/>
    </w:rPr>
  </w:style>
  <w:style w:type="paragraph" w:styleId="ListParagraph">
    <w:name w:val="List Paragraph"/>
    <w:basedOn w:val="Normal"/>
    <w:uiPriority w:val="34"/>
    <w:qFormat/>
    <w:rsid w:val="0052492F"/>
    <w:pPr>
      <w:ind w:left="720"/>
      <w:contextualSpacing/>
    </w:pPr>
  </w:style>
  <w:style w:type="character" w:styleId="IntenseEmphasis">
    <w:name w:val="Intense Emphasis"/>
    <w:basedOn w:val="DefaultParagraphFont"/>
    <w:uiPriority w:val="21"/>
    <w:qFormat/>
    <w:rsid w:val="0052492F"/>
    <w:rPr>
      <w:i/>
      <w:iCs/>
      <w:color w:val="2F5496" w:themeColor="accent1" w:themeShade="BF"/>
    </w:rPr>
  </w:style>
  <w:style w:type="paragraph" w:styleId="IntenseQuote">
    <w:name w:val="Intense Quote"/>
    <w:basedOn w:val="Normal"/>
    <w:next w:val="Normal"/>
    <w:link w:val="IntenseQuoteChar"/>
    <w:uiPriority w:val="30"/>
    <w:qFormat/>
    <w:rsid w:val="00524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92F"/>
    <w:rPr>
      <w:i/>
      <w:iCs/>
      <w:color w:val="2F5496" w:themeColor="accent1" w:themeShade="BF"/>
    </w:rPr>
  </w:style>
  <w:style w:type="character" w:styleId="IntenseReference">
    <w:name w:val="Intense Reference"/>
    <w:basedOn w:val="DefaultParagraphFont"/>
    <w:uiPriority w:val="32"/>
    <w:qFormat/>
    <w:rsid w:val="00524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Hickey</dc:creator>
  <cp:keywords/>
  <dc:description/>
  <cp:lastModifiedBy>Steve Hickey</cp:lastModifiedBy>
  <cp:revision>2</cp:revision>
  <dcterms:created xsi:type="dcterms:W3CDTF">2026-03-03T05:28:00Z</dcterms:created>
  <dcterms:modified xsi:type="dcterms:W3CDTF">2026-03-03T05:28:00Z</dcterms:modified>
</cp:coreProperties>
</file>